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119 vom 23. Februar 2026</w:t>
      </w:r>
    </w:p>
    <w:p>
      <w:r>
        <w:t>FR Kantonsgericht, 2026-02-23, FR</w:t>
      </w:r>
    </w:p>
    <w:p>
      <w:r>
        <w:rPr>
          <w:b/>
        </w:rPr>
        <w:t xml:space="preserve">Quelle: </w:t>
      </w:r>
      <w:r>
        <w:t>https://mcp.opencaselaw.ch/entscheid/fr_gerichte_601 2025 119</w:t>
      </w:r>
    </w:p>
    <w:p>
      <w:r>
        <w:t>FR: FR_GERICHTE 601 2025 119 du 23 février 2026</w:t>
      </w:r>
    </w:p>
    <w:p>
      <w:r>
        <w:t>IT: FR_GERICHTE 601 2025 119 del 23 febbraio 2026</w:t>
      </w:r>
    </w:p>
    <w:p>
      <w:pPr>
        <w:pStyle w:val="Heading2"/>
      </w:pPr>
      <w:r>
        <w:t>Erwägungen</w:t>
      </w:r>
    </w:p>
    <w:p>
      <w:r>
        <w:rPr>
          <w:b/>
        </w:rPr>
        <w:t>E. 1</w:t>
      </w:r>
    </w:p>
    <w:p>
      <w:r>
        <w:t>Déposé dans le délai de 5 jours ouvrables (art. 64 al. 3 de la loi du 16 décembre 2005 sur les étrangers et l'intégration, LEI; RS 142.20) et les formes prescrits par les destinataires de la décision attaquée (art. 76 let. a CPJA), le recours est recevable en vertu des art. 7 de la loi fribourgeoise du 13 novembre 2007 d'application de la loi fédérale sur les étrangers (LALEI; RSF 114.22.1) et 79ss du code fribourgeois du 23 mai 1991 de procédure et de juridiction administrative (CPJA; RSF 150.1). L'avance de frais ayant en outre été versée en temps utile, la Cour de céans peut dès lors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Par ailleurs, la procédure devant le Tribunal cantonal étant régie par la maxime inquisitoire (art. 45 ss CPJA), la Cour de céans doit tenir compte de tous les faits pertinents connus au moment de sa décision, y compris ceux qui sont survenus après la notification du prononcé attaqué (cf. arrêt TF 2C_529/2019 du 31 octobre 2019 consid. 5.1.2; BOVAY, Procédure administrative, 2e éd. 2015, p. 222; dans le même sens CAMPRUBI, in Kommentar zum VwVg, Auer/Müller/Schindler (éd.), 2e éd. 2019, art. 62 n. 11). En outre, le recourant peut invoquer, dans son mémoire de recours, des faits et moyens de preuve qui n'ont pas été présentés dans la procédure précédente (art. 81 al. 3 CPJA).</w:t>
      </w:r>
    </w:p>
    <w:p>
      <w:r>
        <w:rPr>
          <w:b/>
        </w:rPr>
        <w:t>E. 3.1</w:t>
      </w:r>
    </w:p>
    <w:p>
      <w:r>
        <w:t>Aux termes de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En revanche, selon l’art. 11 LEI,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 Conformément à l’art. 12 LEI, tout étranger tenu d’obtenir une autorisation de courte durée, de séjour ou d’établissement doit déclarer son arrivée à l’autorité compétente de son lieu de résidence en Suisse avant la fin du séjour non soumis à autorisation ou avant le début de l’activité lucrative (al. 1). Il est en outre tenu de déclarer son arrivée à l’autorité compétente du nouveau lieu de résidence s’il s’installe dans un nouveau canton ou une nouvelle commune (al. 2). Selon l’art. 64 al. 1 LEI, les autorités compétentes rendent une décision de renvoi ordinaire notamment à l’encontre de l’étranger qui n'a pas d'autorisation alors qu'il y est tenu (let. a).</w:t>
      </w:r>
    </w:p>
    <w:p>
      <w:r>
        <w:t>Tribunal cantonal TC Page 5 de 9</w:t>
      </w:r>
    </w:p>
    <w:p>
      <w:r>
        <w:rPr>
          <w:b/>
        </w:rPr>
        <w:t>E. 3.2</w:t>
      </w:r>
    </w:p>
    <w:p>
      <w:r>
        <w:t>En l’espèce, le recourant a clairement admis exercer en Suisse une activité de carrossier pour le compte de l’entreprise portugaise qu’il a lui-même créée, et cela depuis son arrivée dans le pays en 2023. Il a également déclaré que cette activité lui permettait de subvenir aux besoins de sa famille. Le fait de travailler en Suisse comme carrossier, même pour le compte de la société portugaise qu'il a lui-même fondée, doit être manifestement assimilé à l’exercice d’une activité lucrative au sens de la LEI, pour laquelle une autorisation était requise au sens de l'art. 11 LEI. Le recourant ne prétend d'ailleurs pas le contraire. Dans ce contexte, le recourant ne peut pas se prévaloir du statut de travailleur détaché au sens de l’art. 5 ALCP. Selon cette disposition, un prestataire de services a le droit de fournir un service sur le territoire de l’autre partie contractante pour une durée maximale de 90 jours par année civile. Le travailleur détaché est une personne qui, indépendamment de sa nationalité (UE/AELE ou État tiers; cf. arrêt TAF F-5799/2019 du 8 février 2021 consid. 5.2.2), est envoyée par un prestataire de services ayant son siège dans un État contractant afin de fournir une prestation en Suisse pour le compte et sous la direction de cet employeur, respectivement pour travailler dans une filiale ou une entreprise appartenant au groupe de l’employeur (art. 17 let. b Annexe I ALCP; cf. ég. arrêt TAF F-5128/2016 du 14 août 2017 consid. 5.1). Or, en l'occurrence, le séjour et l’activité du recourant en Suisse pour le compte de sa société portugaise se sont prolongés bien au-delà de la durée maximale de 90 jours par année civile prévue par l’art. 5 ALCP, ce que le recourant ne conteste pas. Dans ces conditions, l’autorité intimée était fondée à constater qu’une autorisation de séjour était nécessaire, tant pour le recourant que pour sa famille, conformément aux art. 10ss LEI.</w:t>
      </w:r>
    </w:p>
    <w:p>
      <w:r>
        <w:rPr>
          <w:b/>
        </w:rPr>
        <w:t>E. 3.3</w:t>
      </w:r>
    </w:p>
    <w:p>
      <w:r>
        <w:t>Quoi qu'en pense le recourant, dans cette situation, il importe en réalité bien peu de déterminer s'il disposait ou non de moyens financiers suffisants pour assurer l'entretien de sa famille, cette question pouvant demeurer indécise. Le seul fait que le recourant et sa famille séjournent en Suisse sans autorisation suffit à justifier la mesure litigieuse, étant rappelé qu’un séjour excédant 90 jours requiert de toute manière une autorisation, y compris en l’absence d’activité lucrative. Dans ces circonstances, les griefs du recourant en lien avec la violation de son droit d'être entendu sont dénuées de portée propre. En effet, l'intéressé ne peut manifestement tirer aucun droit potentiel à l'obtention d'une autorisation de séjour d'une éventuelle violation de son droit d'être entendu, qui constitue uniquement une garantie de nature procédurale (ATF 147 I 89 consid. 1.1.3). Partant, le Tribunal ne saurait admettre le recours et renvoyer la cause pour un fait qui n'est pas pertinent pour l'issue du litige. Il n'y a dès lors pas lieu de s'attarder davantage sur les griefs du recourant sur ce point.</w:t>
      </w:r>
    </w:p>
    <w:p>
      <w:r>
        <w:rPr>
          <w:b/>
        </w:rPr>
        <w:t>E. 3.4</w:t>
      </w:r>
    </w:p>
    <w:p>
      <w:r>
        <w:t>Le fait que le recourant se trouve dans l’attente de l’issue d’une procédure relative à l’obtention de la nationalité espagnole ne suffit pas non plus à fonder un droit de séjour en Suisse. Certes, l'ALCP confère en principe aux ressortissants des États contractants le droit de séjourner en Suisse et d’accéder à la vie économique conformément aux dispositions de son Annexe I (art. 1 let. a et art. 4 ALCP; cf. ATF 136 II 177 consid. 1.1). Or, l’art. 6 par. 3 Annexe I ALCP prévoit que, pour la délivrance d’un titre de séjour, les autorités peuvent notamment exiger la présentation du document sous le couvert duquel il a pénétré sur le territoire. Les procédures de déclaration d’arrivée et d’autorisation demeurent en outre régies notamment par les art. 10 à 15 LEI, applicables par</w:t>
      </w:r>
    </w:p>
    <w:p>
      <w:r>
        <w:t>Tribunal cantonal TC Page 6 de 9 renvoi de l’art. 9 de l’ordonnance du 22 mai 2002 sur la libre circulation des personnes (OLCP; RS 142.203). La Cour a déjà rappelé que la nationalité d’un État membre de l’Union européenne ou de l’AELE constitue un élément déterminant pour l’octroi d’une autorisation de séjour UE/AELE fondée sur l’ALCP, et que, sans la présentation d’un document officiel et authentique émanant d’un État membre de l’Union européenne ou de l’AELE, un étranger ne peut prétendre à l’octroi d’une autorisation de séjour fondée sur l’ALCP (cf. arrêt TC FR 601 2025 18 du 29 octobre 2025 consid. 5). En l'espèce, le recourant ne dispose à ce jour d’aucun passeport valable délivré par un État membre de l’Union européenne ou de l’AELE. Il ne peut dès lors se prévaloir des droits conférés par l’ALCP tant que sa nationalité espagnole n’est pas établie de manière formelle par la présentation d'une pièce de légitimation valable.</w:t>
      </w:r>
    </w:p>
    <w:p>
      <w:r>
        <w:rPr>
          <w:b/>
        </w:rPr>
        <w:t>E. 4</w:t>
      </w:r>
    </w:p>
    <w:p>
      <w:r>
        <w:t>Reste à examiner si la mesure de renvoi peut, dans les circonstances du cas d'espèce, être exécutée ou s'il se justifie de proposer au Secrétariat d'État aux migrations (SEM) l'admission provisoire.</w:t>
      </w:r>
    </w:p>
    <w:p>
      <w:r>
        <w:rPr>
          <w:b/>
        </w:rPr>
        <w:t>E. 4.1</w:t>
      </w:r>
    </w:p>
    <w:p>
      <w:r>
        <w:t>En vertu de l'art. 83 LEI, le SEM admet à titre provisoire un étranger lorsque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Le Conseil fédéral désigne les États d’origine ou de provenance ou les régions de ces États dans lesquels le retour est raisonnablement exigible. Si l’étranger renvoyé vient de l’un de ces États ou d’un État membre de l’UE ou de l’AELE, l’exécution du renvoi est en principe exigible (al. 5). L’admission provisoire peut être proposée par les autorités cantonales (al. 6). Toute autorité appelée à ordonner ou à confirmer l’exécution d’un renvoi doit examiner l’existence éventuelle d’obstacles à cette exécution et, le cas échéant, proposer l’admission provisoire au SEM au sens de l'art. 83 LEI (cf. BLUM/CARONI/PLOZZA, Ausländer- und Integrationsgesetz, 2e éd. 2024, art. 83 LEI n° 57; BOLZLI, in Migrationsrecht Kommentar, 5e éd. 2019, art. 83 LEI n° 36; arrêts TC FR 601 2020 40 du 5 août 2020; 601 2016 164 du 19 juillet 2017 consid. 4b).</w:t>
      </w:r>
    </w:p>
    <w:p>
      <w:r>
        <w:rPr>
          <w:b/>
        </w:rPr>
        <w:t>E. 4.2</w:t>
      </w:r>
    </w:p>
    <w:p>
      <w:r>
        <w:t>En l’occurrence, les recourants sont originaires du Brésil. En soi, les intéressés ne soutiennent pas que le renvoi à destination de ce pays ne serait pas possible ou illicite. Ils sont par ailleurs entrés en Suisse en provenance du Portugal, pays qui figure à l’Annexe 2 de l’ordonnance du 11 août 1999 sur l’exécution du renvoi et l’expulsion d’étrangers (OERE; RS 142.281) et qui constitue en outre un État membre de l’UE. Le renvoi vers cet État est cas échéant dès lors également possible et licite.</w:t>
      </w:r>
    </w:p>
    <w:p>
      <w:r>
        <w:rPr>
          <w:b/>
        </w:rPr>
        <w:t>E. 4.2.1</w:t>
      </w:r>
    </w:p>
    <w:p>
      <w:r>
        <w:t>Reste à examiner si la condition posée à l’art. 83 al. 4 LEI est réalisée, le recourant soutenant que l’exécution de la décision de renvoi ne pourrait, en l’espèce, être raisonnablement exigée.</w:t>
      </w:r>
    </w:p>
    <w:p>
      <w:r>
        <w:t>Tribunal cantonal TC Page 7 de 9</w:t>
      </w:r>
    </w:p>
    <w:p>
      <w:r>
        <w:rPr>
          <w:b/>
        </w:rPr>
        <w:t>E. 4.2.2</w:t>
      </w:r>
    </w:p>
    <w:p>
      <w:r>
        <w:t>S’agissant du caractère raisonnablement exigible du renvoi au sens de l’art. 83 al. 4 LEI, le Tribunal administratif fédéral a précisé que cette disposition vise en premier lieu les "réfugiés de la violence", soit les étrangers qui ne remplissent pas les conditions de la qualité de réfugié faute de persécution personnelle, mais qui fuient des situations de guerre, de guerre civile ou de violence généralisée. Elle s’applique également aux personnes pour lesquelles un retour entraînerait un danger concret pour des motifs d’ordre personnel, notamment lorsqu’elles ne pourraient plus bénéficier des soins médicaux dont elles ont impérativement besoin (cf. arrêt TAF F-6145/2019 du 13 septembre 2021 consid. 3.4). En l’occurrence, le recourant soutient que l’autorité intimée n’aurait pas tenu compte de la situation médicale de l’une de ses enfants, atteinte d’une tumeur cérébrale et nécessitant un suivi régulier à F.________, de sorte que l’exécution du renvoi ne serait pas raisonnablement exigible pour des motifs médicaux au sens de l’art. 83 al. 4 LEI. Ce grief ne peut être suivi. Contrairement à ce que soutient le recourant, la situation médicale de l’enfant ressort clairement des pièces figurant au dossier, qui font partie intégrante du dossier produit par l'autorité intimée et que le recourant a également produit à l'appui de son recours. Il ressort en particulier d'un rapport médical que la fille du recourant souffre d'un gliome de bas grade du mésencéphale et qu'elle a subi une cisternostomie en janvier 2024 au Brésil. L'imagerie cérébrale fait état d'une lésion stable, sans prise de contraste ni signe de progression, avec une diminution de l'hydrocéphalie non communicante et l'absence de déviation des structures de la ligne médiane ou de signes d'engagement. Selon les conclusions médicales produites, la prise en charge consiste en un suivi clinique neurologique et en des examens d’imagerie cérébrale réguliers afin de surveiller la perméabilité de la dérivation et l’évolution de la lésion, à raison d’environ un contrôle annuel, le dernier examen datant d’octobre 2024 et le prochain étant prévu en août 2025, étant précisé que le recourant n'a pas indiqué si cet examen avait bien eu lieu ou non. Dans ces circonstances, il ne peut être retenu que l’enfant serait concrètement mis en danger en cas de retour dans le pays d’origine. Il y a au contraire lieu de relever que l’intervention chirurgicale d’urgence, en début d'année 2024, a été réalisée avec succès au Brésil, la famille y étant présente à ce moment-là, comme en atteste le rapport du chirurgien versé au dossier et dont le recourant a fourni une traduction. Rien n'indique que le suivi médical requis, consistant principalement en des contrôles périodiques, ne pourrait pas être assuré de manière adéquate dans le système de santé brésilien, dans lequel l'enfant a d'ailleurs déjà été prise en charge, ou dans le pays de provenance du recourant et de sa famille. Il ne ressort ainsi pas du dossier que l’exécution du renvoi exposerait l’enfant à un danger concret pour sa vie ou sa santé au sens de l’art. 83 al. 4 LEI.</w:t>
      </w:r>
    </w:p>
    <w:p>
      <w:r>
        <w:rPr>
          <w:b/>
        </w:rPr>
        <w:t>E. 4.2.3</w:t>
      </w:r>
    </w:p>
    <w:p>
      <w:r>
        <w:t>Il s’ensuit que l’exécution du renvoi est possible, licite et raisonnablement exigible, de sorte qu’il n’y a pas lieu de proposer au SEM une admission provisoire au sens de l’art. 83 LEI, tant pour le recourant et son épouse que pour leurs enfants.</w:t>
      </w:r>
    </w:p>
    <w:p>
      <w:r>
        <w:rPr>
          <w:b/>
        </w:rPr>
        <w:t>E. 5</w:t>
      </w:r>
    </w:p>
    <w:p>
      <w:r>
        <w:t>Sous l’angle de la proportionnalité (art. 96 LEI et art. 8 par. 2 CEDH), la décision attaquée résiste également à la critique.</w:t>
      </w:r>
    </w:p>
    <w:p>
      <w:r>
        <w:t>Tribunal cantonal TC Page 8 de 9 Le recourant soutient que ses enfants sont scolarisés en Suisse et qu'ils y sont parfaitement intégrés. En l’espèce, les enfants sont arrivés en Suisse environ en juillet 2023 et y ont été scolarisés à partir de septembre de la même année. La famille a toutefois quitté la Suisse dès décembre 2023, soit après quelques mois, avant de revenir à l'été 2024. La durée de leur séjour continu en Suisse demeure ainsi relativement brève, soit un peu plus d’une année au moment de la décision attaquée, et un peu plus d'une année et demie à ce jour. On ne saurait dès lors parler d’une intégration particulièrement poussée ni de difficultés d’adaptation insurmontables en cas de retour dans le pays d’origine ou dans le pays de provenance. Il ressort en effet du dossier que la famille a connu plusieurs changements de lieu de vie, notamment au Portugal, ce qui tend à démontrer une certaine capacité d’adaptation, en particulier au regard du jeune âge des enfants. Dans ce contexte, il peut raisonnablement être attendu qu’ils puissent retourner dans leur pays d’origine, ou séjourner temporairement dans un autre État, dans l’attente de l’issue de la procédure de naturalisation invoquée par le recourant. Par ailleurs, il y a lieu de souligner que la famille ne sera pas séparée dès lors que le renvoi les concerne tous. Compte tenu des buts poursuivis par la LEI, de l’absence de liens sociaux et culturels particulièrement forts avec la Suisse, ainsi que du caractère illégal du séjour de la famille, l’intérêt public à l’exécution du renvoi l’emporte manifestement sur l’intérêt privé du recourant à voir sa famille demeurer provisoirement en Suisse. Il n’est enfin ni arbitraire ni insoutenable d’exiger du recourant qu’il attende à l'étranger l’issue de sa procédure de naturalisation en Espagne, étant rappelé qu’il lui sera loisible, le cas échéant, de déposer ultérieurement une demande d’autorisation fondée sur l’ALCP une fois sa nationalité espagnole acquise (art. 9 Cst.; cf. ATF 141 I 70 consid. 2.2; 141 I 49 consid. 3.4; 140 I 201 consid. 6.1; 133 I 149 consid. 3.1).</w:t>
      </w:r>
    </w:p>
    <w:p>
      <w:r>
        <w:rPr>
          <w:b/>
        </w:rPr>
        <w:t>E. 6</w:t>
      </w:r>
    </w:p>
    <w:p>
      <w:r>
        <w:t>Il résulte de l’ensemble de ce qui précède que le recours est mal fondé et doit être rejeté (601 2025 119). L’affaire étant jugée au fond, la requête tendant à l’octroi de l’effet suspensif au recours (601 2025 121) est devenue sans objet et doit être rayée du rôle.</w:t>
      </w:r>
    </w:p>
    <w:p>
      <w:r>
        <w:rPr>
          <w:b/>
        </w:rPr>
        <w:t>E. 7</w:t>
      </w:r>
    </w:p>
    <w:p>
      <w:r>
        <w:t>Le recourant, qui succombe, supporte les frais de la procédure (art. 131 CPJA). Ceux-ci sont arrêtés à CHF 1’000.- conformément aux art. 1 et 2 du tarif fribourgeois du 17 décembre 1991 sur les frais de procédure et les indemnités en matière de juridiction administrative (Tarif JA; RSF 150.12). Ils sont compensés avec l’avance de frais du même montant versée le 11 août 2025. Pour le même motif, il n’y a pas lieu d’allouer d'indemnité de partie. (dispositif en page suivante)</w:t>
      </w:r>
    </w:p>
    <w:p>
      <w:r>
        <w:t>Tribunal cantonal TC Page 9 de 9 la Cour arrête : I. Le recours (601 2025 119) est rejeté. II. La requête d'effet suspensif (601 2025 121), devenue sans objet, est rayée du rôle. III. Des frais de procédure, de CHF 1'000.-, sont mis solidairement à la charge des recourants. Ils sont compensés par l'avance de frais de même montant versée.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février 2026/jud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